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A1" w:rsidRPr="00C856FE" w:rsidRDefault="00C856FE" w:rsidP="00C856FE">
      <w:pPr>
        <w:jc w:val="center"/>
        <w:rPr>
          <w:b/>
          <w:sz w:val="30"/>
          <w:szCs w:val="30"/>
        </w:rPr>
      </w:pPr>
      <w:r w:rsidRPr="00C856FE">
        <w:rPr>
          <w:b/>
          <w:sz w:val="30"/>
          <w:szCs w:val="30"/>
        </w:rPr>
        <w:t>Un</w:t>
      </w:r>
      <w:r w:rsidR="00D94155" w:rsidRPr="00C856FE">
        <w:rPr>
          <w:b/>
          <w:sz w:val="30"/>
          <w:szCs w:val="30"/>
        </w:rPr>
        <w:t xml:space="preserve"> groupe d’analyse des pratiques professionnelles</w:t>
      </w:r>
      <w:r w:rsidRPr="00C856FE">
        <w:rPr>
          <w:b/>
          <w:sz w:val="30"/>
          <w:szCs w:val="30"/>
        </w:rPr>
        <w:t xml:space="preserve"> pour soignants</w:t>
      </w:r>
    </w:p>
    <w:p w:rsidR="00D00044" w:rsidRPr="00D00044" w:rsidRDefault="00D00044" w:rsidP="00D00044">
      <w:pPr>
        <w:rPr>
          <w:szCs w:val="24"/>
        </w:rPr>
      </w:pPr>
    </w:p>
    <w:p w:rsidR="00167F82" w:rsidRDefault="00167F82" w:rsidP="00D00044">
      <w:pPr>
        <w:rPr>
          <w:szCs w:val="24"/>
          <w:u w:val="single"/>
        </w:rPr>
      </w:pPr>
    </w:p>
    <w:p w:rsidR="00C856FE" w:rsidRDefault="00D00044" w:rsidP="00D00044">
      <w:pPr>
        <w:rPr>
          <w:szCs w:val="24"/>
        </w:rPr>
      </w:pPr>
      <w:r w:rsidRPr="00D00044">
        <w:rPr>
          <w:szCs w:val="24"/>
          <w:u w:val="single"/>
        </w:rPr>
        <w:t>Intervenant</w:t>
      </w:r>
      <w:r w:rsidRPr="00D00044">
        <w:rPr>
          <w:szCs w:val="24"/>
        </w:rPr>
        <w:t> :</w:t>
      </w:r>
      <w:r>
        <w:rPr>
          <w:szCs w:val="24"/>
        </w:rPr>
        <w:t xml:space="preserve"> </w:t>
      </w:r>
    </w:p>
    <w:p w:rsidR="00C856FE" w:rsidRDefault="00C856FE" w:rsidP="00D00044">
      <w:pPr>
        <w:rPr>
          <w:szCs w:val="24"/>
        </w:rPr>
      </w:pPr>
    </w:p>
    <w:p w:rsidR="00D00044" w:rsidRPr="00D00044" w:rsidRDefault="00D00044" w:rsidP="00D00044">
      <w:pPr>
        <w:rPr>
          <w:szCs w:val="24"/>
        </w:rPr>
      </w:pPr>
      <w:r w:rsidRPr="00D00044">
        <w:rPr>
          <w:szCs w:val="24"/>
        </w:rPr>
        <w:t xml:space="preserve">Marc </w:t>
      </w:r>
      <w:proofErr w:type="spellStart"/>
      <w:r w:rsidRPr="00D00044">
        <w:rPr>
          <w:szCs w:val="24"/>
        </w:rPr>
        <w:t>Camiolo</w:t>
      </w:r>
      <w:proofErr w:type="spellEnd"/>
      <w:r w:rsidRPr="00D00044">
        <w:rPr>
          <w:szCs w:val="24"/>
        </w:rPr>
        <w:t>, Sociologue</w:t>
      </w:r>
      <w:r w:rsidR="00A90720">
        <w:rPr>
          <w:szCs w:val="24"/>
        </w:rPr>
        <w:t xml:space="preserve"> et psychanalyste</w:t>
      </w:r>
    </w:p>
    <w:p w:rsidR="00D00044" w:rsidRPr="00D00044" w:rsidRDefault="00D00044" w:rsidP="00D00044">
      <w:pPr>
        <w:rPr>
          <w:szCs w:val="24"/>
        </w:rPr>
      </w:pPr>
    </w:p>
    <w:p w:rsidR="00C856FE" w:rsidRDefault="00C856FE" w:rsidP="00D00044">
      <w:pPr>
        <w:rPr>
          <w:szCs w:val="24"/>
          <w:u w:val="single"/>
        </w:rPr>
      </w:pPr>
    </w:p>
    <w:p w:rsidR="00C856FE" w:rsidRDefault="00D00044" w:rsidP="00D00044">
      <w:pPr>
        <w:rPr>
          <w:szCs w:val="24"/>
        </w:rPr>
      </w:pPr>
      <w:r>
        <w:rPr>
          <w:szCs w:val="24"/>
          <w:u w:val="single"/>
        </w:rPr>
        <w:t>Objectif</w:t>
      </w:r>
      <w:r w:rsidRPr="00D00044">
        <w:rPr>
          <w:szCs w:val="24"/>
        </w:rPr>
        <w:t> :</w:t>
      </w:r>
      <w:r>
        <w:rPr>
          <w:szCs w:val="24"/>
        </w:rPr>
        <w:t xml:space="preserve"> </w:t>
      </w:r>
    </w:p>
    <w:p w:rsidR="00C856FE" w:rsidRDefault="00C856FE" w:rsidP="00D00044">
      <w:pPr>
        <w:rPr>
          <w:szCs w:val="24"/>
        </w:rPr>
      </w:pPr>
    </w:p>
    <w:p w:rsidR="00D00044" w:rsidRDefault="00A90720" w:rsidP="00D00044">
      <w:pPr>
        <w:rPr>
          <w:szCs w:val="24"/>
        </w:rPr>
      </w:pPr>
      <w:r>
        <w:rPr>
          <w:szCs w:val="24"/>
        </w:rPr>
        <w:t xml:space="preserve">Parler et penser </w:t>
      </w:r>
      <w:r w:rsidR="00D00044">
        <w:rPr>
          <w:szCs w:val="24"/>
        </w:rPr>
        <w:t xml:space="preserve"> </w:t>
      </w:r>
      <w:r>
        <w:rPr>
          <w:szCs w:val="24"/>
        </w:rPr>
        <w:t xml:space="preserve">la violence, </w:t>
      </w:r>
      <w:r w:rsidR="00D00044">
        <w:rPr>
          <w:szCs w:val="24"/>
        </w:rPr>
        <w:t xml:space="preserve">les souffrances, les difficultés et les impasses qui font aujourd’hui la pratique quotidienne </w:t>
      </w:r>
      <w:r>
        <w:rPr>
          <w:szCs w:val="24"/>
        </w:rPr>
        <w:t>des professionnels de santé.</w:t>
      </w:r>
    </w:p>
    <w:p w:rsidR="00D00044" w:rsidRDefault="00D00044" w:rsidP="00D00044">
      <w:pPr>
        <w:rPr>
          <w:szCs w:val="24"/>
        </w:rPr>
      </w:pPr>
    </w:p>
    <w:p w:rsidR="00C856FE" w:rsidRDefault="00C856FE" w:rsidP="00D00044">
      <w:pPr>
        <w:rPr>
          <w:szCs w:val="24"/>
          <w:u w:val="single"/>
        </w:rPr>
      </w:pPr>
    </w:p>
    <w:p w:rsidR="00D138D2" w:rsidRDefault="00097032" w:rsidP="00D00044">
      <w:pPr>
        <w:rPr>
          <w:szCs w:val="24"/>
        </w:rPr>
      </w:pPr>
      <w:r>
        <w:rPr>
          <w:szCs w:val="24"/>
          <w:u w:val="single"/>
        </w:rPr>
        <w:t>Méthode</w:t>
      </w:r>
      <w:r>
        <w:rPr>
          <w:szCs w:val="24"/>
        </w:rPr>
        <w:t xml:space="preserve"> : </w:t>
      </w:r>
    </w:p>
    <w:p w:rsidR="00D138D2" w:rsidRDefault="00D138D2" w:rsidP="00D00044">
      <w:pPr>
        <w:rPr>
          <w:szCs w:val="24"/>
        </w:rPr>
      </w:pPr>
    </w:p>
    <w:p w:rsidR="00D00044" w:rsidRDefault="00FB094F" w:rsidP="00D00044">
      <w:pPr>
        <w:rPr>
          <w:szCs w:val="24"/>
        </w:rPr>
      </w:pPr>
      <w:r>
        <w:rPr>
          <w:szCs w:val="24"/>
        </w:rPr>
        <w:t xml:space="preserve">L’analyse de pratiques offre une porte d’entrée pour l’expression, le questionnement et l’interprétation </w:t>
      </w:r>
      <w:r w:rsidR="00A90720">
        <w:rPr>
          <w:szCs w:val="24"/>
        </w:rPr>
        <w:t xml:space="preserve">de la violence, </w:t>
      </w:r>
      <w:r>
        <w:rPr>
          <w:szCs w:val="24"/>
        </w:rPr>
        <w:t xml:space="preserve">des souffrances, </w:t>
      </w:r>
      <w:r w:rsidR="00602333">
        <w:rPr>
          <w:szCs w:val="24"/>
        </w:rPr>
        <w:t xml:space="preserve">des </w:t>
      </w:r>
      <w:r>
        <w:rPr>
          <w:szCs w:val="24"/>
        </w:rPr>
        <w:t xml:space="preserve">difficultés et </w:t>
      </w:r>
      <w:r w:rsidR="00602333">
        <w:rPr>
          <w:szCs w:val="24"/>
        </w:rPr>
        <w:t xml:space="preserve">des </w:t>
      </w:r>
      <w:r>
        <w:rPr>
          <w:szCs w:val="24"/>
        </w:rPr>
        <w:t xml:space="preserve">impasses que rencontrent les </w:t>
      </w:r>
      <w:r w:rsidR="00A90720">
        <w:rPr>
          <w:szCs w:val="24"/>
        </w:rPr>
        <w:t>professionnels de santé</w:t>
      </w:r>
      <w:r>
        <w:rPr>
          <w:szCs w:val="24"/>
        </w:rPr>
        <w:t xml:space="preserve">. </w:t>
      </w:r>
      <w:r w:rsidR="00602333">
        <w:rPr>
          <w:szCs w:val="24"/>
        </w:rPr>
        <w:t xml:space="preserve">La </w:t>
      </w:r>
      <w:r w:rsidR="00602333" w:rsidRPr="002056D6">
        <w:rPr>
          <w:i/>
          <w:szCs w:val="24"/>
        </w:rPr>
        <w:t>méthode d’analyse en groupe</w:t>
      </w:r>
      <w:r w:rsidR="00602333">
        <w:rPr>
          <w:szCs w:val="24"/>
        </w:rPr>
        <w:t xml:space="preserve"> (Chaumont et </w:t>
      </w:r>
      <w:proofErr w:type="gramStart"/>
      <w:r w:rsidR="00602333">
        <w:rPr>
          <w:szCs w:val="24"/>
        </w:rPr>
        <w:t>al.,</w:t>
      </w:r>
      <w:proofErr w:type="gramEnd"/>
      <w:r w:rsidR="00602333">
        <w:rPr>
          <w:szCs w:val="24"/>
        </w:rPr>
        <w:t xml:space="preserve"> 2005) permet donc cette double approche d’un travail d’échange et de discussion pour les participants,</w:t>
      </w:r>
      <w:r w:rsidR="00C41DB3">
        <w:rPr>
          <w:szCs w:val="24"/>
        </w:rPr>
        <w:t xml:space="preserve"> en même temps qu’un travail heuristique d’analyse pour le sociologue. Par groupes de six à dix participants, à raison d’une réunion mensuelle par groupe, cette démarche à long terme </w:t>
      </w:r>
      <w:r w:rsidR="00D138D2">
        <w:rPr>
          <w:szCs w:val="24"/>
        </w:rPr>
        <w:t xml:space="preserve">donne également la possibilité d’une transmission des </w:t>
      </w:r>
      <w:r w:rsidR="00C66E2C">
        <w:rPr>
          <w:szCs w:val="24"/>
        </w:rPr>
        <w:t>soignants</w:t>
      </w:r>
      <w:r w:rsidR="00D138D2">
        <w:rPr>
          <w:szCs w:val="24"/>
        </w:rPr>
        <w:t xml:space="preserve"> les plus expérimentés aux </w:t>
      </w:r>
      <w:r w:rsidR="00C66E2C">
        <w:rPr>
          <w:szCs w:val="24"/>
        </w:rPr>
        <w:t>soignants</w:t>
      </w:r>
      <w:r w:rsidR="00D138D2">
        <w:rPr>
          <w:szCs w:val="24"/>
        </w:rPr>
        <w:t xml:space="preserve"> débutants.</w:t>
      </w:r>
    </w:p>
    <w:p w:rsidR="00D138D2" w:rsidRDefault="00D138D2" w:rsidP="00D00044">
      <w:pPr>
        <w:rPr>
          <w:szCs w:val="24"/>
        </w:rPr>
      </w:pPr>
    </w:p>
    <w:p w:rsidR="00D138D2" w:rsidRDefault="00D138D2" w:rsidP="00D00044">
      <w:pPr>
        <w:rPr>
          <w:szCs w:val="24"/>
        </w:rPr>
      </w:pPr>
      <w:r>
        <w:rPr>
          <w:szCs w:val="24"/>
        </w:rPr>
        <w:t xml:space="preserve">Les groupes se réunissent pour une durée </w:t>
      </w:r>
      <w:r w:rsidR="00C66E2C">
        <w:rPr>
          <w:szCs w:val="24"/>
        </w:rPr>
        <w:t>de</w:t>
      </w:r>
      <w:r>
        <w:rPr>
          <w:szCs w:val="24"/>
        </w:rPr>
        <w:t xml:space="preserve"> 2h30. La participation ne peut s’entendre que sur la base du volontariat. Un participant commence par faire le récit d’une situation vécue qui a soulevée des questions et posée des problèmes particuliers. De ce récit sont formulées des questions et des enjeux qui sont ensuite mis au tou</w:t>
      </w:r>
      <w:r w:rsidR="002056D6">
        <w:rPr>
          <w:szCs w:val="24"/>
        </w:rPr>
        <w:t>r de table. Chaque participant a</w:t>
      </w:r>
      <w:r>
        <w:rPr>
          <w:szCs w:val="24"/>
        </w:rPr>
        <w:t xml:space="preserve"> donc l’occasion de s’exprimer sur sa façon de percevoir et d’aborder la situation dans le cas où il la rencontre</w:t>
      </w:r>
      <w:r w:rsidR="002056D6">
        <w:rPr>
          <w:szCs w:val="24"/>
        </w:rPr>
        <w:t xml:space="preserve">rait lui-aussi dans sa pratique ou sur la manière dont il a fait face à une situation similaire par le passé. Le sociologue relève les points de divergence entre les participants, non pas dans le but de chercher à mettre tout le monde d’accord, mais simplement de relever les débats, d’en faire l’inventaire et de les qualifier au rang d’apories significatives de l’activité des </w:t>
      </w:r>
      <w:r w:rsidR="00C66E2C">
        <w:rPr>
          <w:szCs w:val="24"/>
        </w:rPr>
        <w:t>soignants</w:t>
      </w:r>
      <w:r w:rsidR="002056D6">
        <w:rPr>
          <w:szCs w:val="24"/>
        </w:rPr>
        <w:t>. Ces questions cruciales pourront éventuellement donner lieu à des interprétations qui relancent un nouveau débat. Si la situation le nécessite, une transmission de connaissance peut-être également effectuée par l’intervenant et c’est le porteur de la situation initiale qui conclut au regard des différentes positions qu’il aura entendu au cours des échanges. Dans une séance complète, deux, trois ou quatre situations peuvent être abordées.</w:t>
      </w:r>
    </w:p>
    <w:p w:rsidR="002056D6" w:rsidRDefault="002056D6" w:rsidP="00D00044">
      <w:pPr>
        <w:rPr>
          <w:szCs w:val="24"/>
        </w:rPr>
      </w:pPr>
    </w:p>
    <w:p w:rsidR="00C856FE" w:rsidRDefault="00C856FE" w:rsidP="00D00044">
      <w:pPr>
        <w:rPr>
          <w:szCs w:val="24"/>
          <w:u w:val="single"/>
        </w:rPr>
      </w:pPr>
    </w:p>
    <w:p w:rsidR="002056D6" w:rsidRDefault="00BF57E3" w:rsidP="00D00044">
      <w:pPr>
        <w:rPr>
          <w:szCs w:val="24"/>
        </w:rPr>
      </w:pPr>
      <w:r>
        <w:rPr>
          <w:szCs w:val="24"/>
          <w:u w:val="single"/>
        </w:rPr>
        <w:t>Régularité, entrées et sorties d’un groupe</w:t>
      </w:r>
      <w:r>
        <w:rPr>
          <w:szCs w:val="24"/>
        </w:rPr>
        <w:t> :</w:t>
      </w:r>
    </w:p>
    <w:p w:rsidR="00BF57E3" w:rsidRDefault="00BF57E3" w:rsidP="00D00044">
      <w:pPr>
        <w:rPr>
          <w:szCs w:val="24"/>
        </w:rPr>
      </w:pPr>
    </w:p>
    <w:p w:rsidR="00BF57E3" w:rsidRPr="00BF57E3" w:rsidRDefault="00BF57E3" w:rsidP="00D00044">
      <w:pPr>
        <w:rPr>
          <w:szCs w:val="24"/>
        </w:rPr>
      </w:pPr>
      <w:r>
        <w:rPr>
          <w:szCs w:val="24"/>
        </w:rPr>
        <w:t xml:space="preserve">Les réunions ont lieu une fois par mois pour une durée indéterminée qui devrait plutôt s’entendre à moyen terme. Deux ou trois années pourraient être le temps de travail nécessaire à une élaboration approfondie de l’activité de </w:t>
      </w:r>
      <w:r w:rsidR="00C66E2C">
        <w:rPr>
          <w:szCs w:val="24"/>
        </w:rPr>
        <w:t>soignant</w:t>
      </w:r>
      <w:r>
        <w:rPr>
          <w:szCs w:val="24"/>
        </w:rPr>
        <w:t xml:space="preserve"> pour donner à chacun l’opportunité d’expérimente</w:t>
      </w:r>
      <w:r w:rsidR="009B7D65">
        <w:rPr>
          <w:szCs w:val="24"/>
        </w:rPr>
        <w:t>r différentes façons d’aborder s</w:t>
      </w:r>
      <w:r>
        <w:rPr>
          <w:szCs w:val="24"/>
        </w:rPr>
        <w:t>es difficultés quotidiennes. Cependant, le temps de travail ne peut être défini que par le sujet lui-même et chacun peut donc quitter le travail de groupe lorsqu’</w:t>
      </w:r>
      <w:r w:rsidR="00013956">
        <w:rPr>
          <w:szCs w:val="24"/>
        </w:rPr>
        <w:t xml:space="preserve">il juge qu’il </w:t>
      </w:r>
      <w:r>
        <w:rPr>
          <w:szCs w:val="24"/>
        </w:rPr>
        <w:t xml:space="preserve">est arrivé à son terme. Celui qui désire mettre un terme à sa participation en informe le groupe lors d’une séance et se verra attribuer un temps de parole </w:t>
      </w:r>
      <w:r>
        <w:rPr>
          <w:szCs w:val="24"/>
        </w:rPr>
        <w:lastRenderedPageBreak/>
        <w:t xml:space="preserve">spécifique lors de la séance suivante pour expliquer et discuter les raisons de sa décision. Un nouveau membre pourra alors intégrer le groupe après un entretien individuel dont le but sera de s’assurer que le demandeur a bien compris les objectifs, les orientations et la méthode d’analyse en groupe. </w:t>
      </w:r>
    </w:p>
    <w:p w:rsidR="00FD00A1" w:rsidRDefault="00FD00A1"/>
    <w:p w:rsidR="00C856FE" w:rsidRDefault="00C856FE">
      <w:pPr>
        <w:rPr>
          <w:u w:val="single"/>
        </w:rPr>
      </w:pPr>
    </w:p>
    <w:p w:rsidR="00013956" w:rsidRDefault="00013956">
      <w:proofErr w:type="gramStart"/>
      <w:r>
        <w:rPr>
          <w:u w:val="single"/>
        </w:rPr>
        <w:t>Règles</w:t>
      </w:r>
      <w:proofErr w:type="gramEnd"/>
      <w:r>
        <w:t> :</w:t>
      </w:r>
    </w:p>
    <w:p w:rsidR="00013956" w:rsidRDefault="00013956"/>
    <w:p w:rsidR="00013956" w:rsidRDefault="00013956">
      <w:r>
        <w:t>Chacun est tenu d’adopter une attitude neutre et bienveillante à l’égard des autres participants. Les situations devront être racontées en prenant soin de conserver l’anonymat des personnes impliquées et que l’on ne puisse pas les reconnaître de quelque façon que ce soit. Enfin, à aucun moment le groupe ne peut se poser en instance de décision politique ou syndicale. Il s’en tiendra uniquement à son objectif de comprendre ce qui arrive.</w:t>
      </w:r>
    </w:p>
    <w:p w:rsidR="00013956" w:rsidRDefault="00013956"/>
    <w:p w:rsidR="00C856FE" w:rsidRDefault="00C856FE" w:rsidP="00C1116B">
      <w:pPr>
        <w:jc w:val="left"/>
        <w:rPr>
          <w:rFonts w:cs="Times New Roman"/>
          <w:szCs w:val="24"/>
          <w:u w:val="single"/>
        </w:rPr>
      </w:pPr>
    </w:p>
    <w:p w:rsidR="00D94155" w:rsidRDefault="00D94155" w:rsidP="00C1116B">
      <w:pPr>
        <w:jc w:val="left"/>
        <w:rPr>
          <w:rFonts w:cs="Times New Roman"/>
          <w:szCs w:val="24"/>
        </w:rPr>
      </w:pPr>
      <w:r w:rsidRPr="00690122">
        <w:rPr>
          <w:rFonts w:cs="Times New Roman"/>
          <w:szCs w:val="24"/>
          <w:u w:val="single"/>
        </w:rPr>
        <w:t>Coût de la formation :</w:t>
      </w:r>
      <w:r>
        <w:rPr>
          <w:rFonts w:cs="Times New Roman"/>
          <w:szCs w:val="24"/>
        </w:rPr>
        <w:t xml:space="preserve"> </w:t>
      </w:r>
    </w:p>
    <w:p w:rsidR="00D94155" w:rsidRDefault="00D94155" w:rsidP="00C1116B">
      <w:pPr>
        <w:jc w:val="left"/>
        <w:rPr>
          <w:rFonts w:cs="Times New Roman"/>
          <w:szCs w:val="24"/>
        </w:rPr>
      </w:pPr>
    </w:p>
    <w:p w:rsidR="00D94155" w:rsidRPr="00D94155" w:rsidRDefault="00D94155" w:rsidP="00C1116B">
      <w:pPr>
        <w:jc w:val="left"/>
        <w:rPr>
          <w:rFonts w:cs="Times New Roman"/>
          <w:color w:val="000000"/>
          <w:szCs w:val="24"/>
          <w:u w:val="single"/>
        </w:rPr>
      </w:pPr>
      <w:r>
        <w:rPr>
          <w:rFonts w:cs="Times New Roman"/>
          <w:szCs w:val="24"/>
        </w:rPr>
        <w:t>5</w:t>
      </w:r>
      <w:r w:rsidRPr="00690122">
        <w:rPr>
          <w:rFonts w:cs="Times New Roman"/>
          <w:szCs w:val="24"/>
        </w:rPr>
        <w:t>0 euros</w:t>
      </w:r>
      <w:r>
        <w:rPr>
          <w:rFonts w:cs="Times New Roman"/>
          <w:szCs w:val="24"/>
        </w:rPr>
        <w:t xml:space="preserve"> par participant et par séance</w:t>
      </w:r>
    </w:p>
    <w:p w:rsidR="00D94155" w:rsidRPr="00D94155" w:rsidRDefault="00D94155" w:rsidP="00C1116B">
      <w:pPr>
        <w:jc w:val="left"/>
        <w:rPr>
          <w:rFonts w:cs="Times New Roman"/>
          <w:color w:val="000000"/>
          <w:szCs w:val="24"/>
          <w:u w:val="single"/>
        </w:rPr>
      </w:pPr>
    </w:p>
    <w:p w:rsidR="00C856FE" w:rsidRDefault="00C856FE" w:rsidP="00C1116B">
      <w:pPr>
        <w:jc w:val="left"/>
        <w:rPr>
          <w:rFonts w:cs="Times New Roman"/>
          <w:color w:val="000000"/>
          <w:szCs w:val="24"/>
          <w:u w:val="single"/>
        </w:rPr>
      </w:pPr>
    </w:p>
    <w:p w:rsidR="00C1116B" w:rsidRPr="00D94155" w:rsidRDefault="00C1116B" w:rsidP="00C1116B">
      <w:pPr>
        <w:jc w:val="left"/>
        <w:rPr>
          <w:rFonts w:cs="Times New Roman"/>
          <w:color w:val="000000"/>
          <w:szCs w:val="24"/>
        </w:rPr>
      </w:pPr>
      <w:r w:rsidRPr="00D94155">
        <w:rPr>
          <w:rFonts w:cs="Times New Roman"/>
          <w:color w:val="000000"/>
          <w:szCs w:val="24"/>
          <w:u w:val="single"/>
        </w:rPr>
        <w:t>Bibliographie :</w:t>
      </w:r>
    </w:p>
    <w:p w:rsidR="00C1116B" w:rsidRPr="00D94155" w:rsidRDefault="00C1116B" w:rsidP="00C1116B">
      <w:pPr>
        <w:jc w:val="left"/>
        <w:rPr>
          <w:rFonts w:cs="Times New Roman"/>
          <w:color w:val="000000"/>
          <w:szCs w:val="24"/>
        </w:rPr>
      </w:pPr>
    </w:p>
    <w:p w:rsidR="00C1116B" w:rsidRDefault="00C1116B" w:rsidP="00C1116B">
      <w:pPr>
        <w:rPr>
          <w:rFonts w:eastAsia="Calibri" w:cs="Times New Roman"/>
          <w:szCs w:val="24"/>
          <w:lang w:val="en-US"/>
        </w:rPr>
      </w:pPr>
      <w:proofErr w:type="spellStart"/>
      <w:proofErr w:type="gramStart"/>
      <w:r w:rsidRPr="00690122">
        <w:rPr>
          <w:rFonts w:eastAsia="Calibri" w:cs="Times New Roman"/>
          <w:szCs w:val="24"/>
          <w:lang w:val="en-US"/>
        </w:rPr>
        <w:t>Balint</w:t>
      </w:r>
      <w:proofErr w:type="spellEnd"/>
      <w:r w:rsidRPr="00690122">
        <w:rPr>
          <w:rFonts w:eastAsia="Calibri" w:cs="Times New Roman"/>
          <w:szCs w:val="24"/>
          <w:lang w:val="en-US"/>
        </w:rPr>
        <w:t>, M. (1957).</w:t>
      </w:r>
      <w:proofErr w:type="gramEnd"/>
      <w:r w:rsidRPr="00690122">
        <w:rPr>
          <w:rFonts w:eastAsia="Calibri" w:cs="Times New Roman"/>
          <w:szCs w:val="24"/>
          <w:lang w:val="en-US"/>
        </w:rPr>
        <w:t xml:space="preserve"> </w:t>
      </w:r>
      <w:proofErr w:type="gramStart"/>
      <w:r w:rsidRPr="00690122">
        <w:rPr>
          <w:rFonts w:eastAsia="Calibri" w:cs="Times New Roman"/>
          <w:i/>
          <w:szCs w:val="24"/>
          <w:lang w:val="en-US"/>
        </w:rPr>
        <w:t xml:space="preserve">The doctor, his patient and the illness, </w:t>
      </w:r>
      <w:r w:rsidRPr="00690122">
        <w:rPr>
          <w:rFonts w:eastAsia="Calibri" w:cs="Times New Roman"/>
          <w:szCs w:val="24"/>
          <w:lang w:val="en-US"/>
        </w:rPr>
        <w:t>Churchill Livingstone.</w:t>
      </w:r>
      <w:proofErr w:type="gramEnd"/>
    </w:p>
    <w:p w:rsidR="00C66E2C" w:rsidRDefault="00C66E2C" w:rsidP="00C1116B">
      <w:pPr>
        <w:rPr>
          <w:rFonts w:eastAsia="Calibri" w:cs="Times New Roman"/>
          <w:szCs w:val="24"/>
          <w:lang w:val="en-US"/>
        </w:rPr>
      </w:pPr>
    </w:p>
    <w:p w:rsidR="00C66E2C" w:rsidRPr="00C66E2C" w:rsidRDefault="00C66E2C" w:rsidP="00C1116B">
      <w:pPr>
        <w:rPr>
          <w:rFonts w:eastAsia="Calibri" w:cs="Times New Roman"/>
          <w:szCs w:val="24"/>
        </w:rPr>
      </w:pPr>
      <w:proofErr w:type="spellStart"/>
      <w:r w:rsidRPr="00C66E2C">
        <w:rPr>
          <w:rFonts w:eastAsia="Calibri" w:cs="Times New Roman"/>
          <w:szCs w:val="24"/>
        </w:rPr>
        <w:t>Camiolo</w:t>
      </w:r>
      <w:proofErr w:type="spellEnd"/>
      <w:r w:rsidRPr="00C66E2C">
        <w:rPr>
          <w:rFonts w:eastAsia="Calibri" w:cs="Times New Roman"/>
          <w:szCs w:val="24"/>
        </w:rPr>
        <w:t xml:space="preserve">, M. (2014). </w:t>
      </w:r>
      <w:r w:rsidRPr="00C66E2C">
        <w:rPr>
          <w:rFonts w:eastAsia="Calibri" w:cs="Times New Roman"/>
          <w:i/>
          <w:szCs w:val="24"/>
        </w:rPr>
        <w:t>L’</w:t>
      </w:r>
      <w:r>
        <w:rPr>
          <w:rFonts w:eastAsia="Calibri" w:cs="Times New Roman"/>
          <w:i/>
          <w:szCs w:val="24"/>
        </w:rPr>
        <w:t>éducation routière en question, socio-anthropologie critique du risque et de la sécurité,</w:t>
      </w:r>
      <w:r>
        <w:rPr>
          <w:rFonts w:eastAsia="Calibri" w:cs="Times New Roman"/>
          <w:szCs w:val="24"/>
        </w:rPr>
        <w:t xml:space="preserve"> </w:t>
      </w:r>
      <w:proofErr w:type="spellStart"/>
      <w:r w:rsidRPr="00C1116B">
        <w:rPr>
          <w:rFonts w:eastAsia="Calibri"/>
        </w:rPr>
        <w:t>Fernelmont</w:t>
      </w:r>
      <w:proofErr w:type="spellEnd"/>
      <w:r w:rsidRPr="00C1116B">
        <w:rPr>
          <w:rFonts w:eastAsia="Calibri"/>
        </w:rPr>
        <w:t> : EME éditions</w:t>
      </w:r>
      <w:r>
        <w:rPr>
          <w:rFonts w:eastAsia="Calibri"/>
        </w:rPr>
        <w:t>.</w:t>
      </w:r>
    </w:p>
    <w:p w:rsidR="00C1116B" w:rsidRPr="00C66E2C" w:rsidRDefault="00C1116B" w:rsidP="00C1116B">
      <w:pPr>
        <w:jc w:val="left"/>
        <w:rPr>
          <w:rFonts w:cs="Times New Roman"/>
          <w:szCs w:val="24"/>
        </w:rPr>
      </w:pPr>
    </w:p>
    <w:p w:rsidR="00C1116B" w:rsidRPr="00690122" w:rsidRDefault="00C1116B" w:rsidP="00C1116B">
      <w:pPr>
        <w:rPr>
          <w:rFonts w:eastAsia="Calibri" w:cs="Times New Roman"/>
          <w:szCs w:val="24"/>
        </w:rPr>
      </w:pPr>
      <w:r w:rsidRPr="00690122">
        <w:rPr>
          <w:rFonts w:eastAsia="Calibri" w:cs="Times New Roman"/>
          <w:szCs w:val="24"/>
        </w:rPr>
        <w:t xml:space="preserve">Chaumont, J.-M., Van </w:t>
      </w:r>
      <w:proofErr w:type="spellStart"/>
      <w:r w:rsidRPr="00690122">
        <w:rPr>
          <w:rFonts w:eastAsia="Calibri" w:cs="Times New Roman"/>
          <w:szCs w:val="24"/>
        </w:rPr>
        <w:t>Campenhoudt</w:t>
      </w:r>
      <w:proofErr w:type="spellEnd"/>
      <w:r w:rsidRPr="00690122">
        <w:rPr>
          <w:rFonts w:eastAsia="Calibri" w:cs="Times New Roman"/>
          <w:szCs w:val="24"/>
        </w:rPr>
        <w:t xml:space="preserve">, L. et </w:t>
      </w:r>
      <w:proofErr w:type="spellStart"/>
      <w:r w:rsidRPr="00690122">
        <w:rPr>
          <w:rFonts w:eastAsia="Calibri" w:cs="Times New Roman"/>
          <w:szCs w:val="24"/>
        </w:rPr>
        <w:t>Franssen</w:t>
      </w:r>
      <w:proofErr w:type="spellEnd"/>
      <w:r w:rsidRPr="00690122">
        <w:rPr>
          <w:rFonts w:eastAsia="Calibri" w:cs="Times New Roman"/>
          <w:szCs w:val="24"/>
        </w:rPr>
        <w:t xml:space="preserve">, A., (2005). </w:t>
      </w:r>
      <w:r w:rsidRPr="00690122">
        <w:rPr>
          <w:rFonts w:eastAsia="Calibri" w:cs="Times New Roman"/>
          <w:i/>
          <w:szCs w:val="24"/>
        </w:rPr>
        <w:t>La méthode d’analyse en groupe. Applications aux phénomènes sociaux,</w:t>
      </w:r>
      <w:r w:rsidRPr="00690122">
        <w:rPr>
          <w:rFonts w:eastAsia="Calibri" w:cs="Times New Roman"/>
          <w:szCs w:val="24"/>
        </w:rPr>
        <w:t xml:space="preserve"> </w:t>
      </w:r>
      <w:proofErr w:type="spellStart"/>
      <w:r w:rsidRPr="00690122">
        <w:rPr>
          <w:rFonts w:eastAsia="Calibri" w:cs="Times New Roman"/>
          <w:szCs w:val="24"/>
        </w:rPr>
        <w:t>Dunod</w:t>
      </w:r>
      <w:proofErr w:type="spellEnd"/>
      <w:r w:rsidRPr="00690122">
        <w:rPr>
          <w:rFonts w:eastAsia="Calibri" w:cs="Times New Roman"/>
          <w:szCs w:val="24"/>
        </w:rPr>
        <w:t>.</w:t>
      </w:r>
    </w:p>
    <w:p w:rsidR="003F5A44" w:rsidRDefault="003F5A44" w:rsidP="00C1116B"/>
    <w:p w:rsidR="00C856FE" w:rsidRPr="0000096A" w:rsidRDefault="00C856FE" w:rsidP="00C856FE">
      <w:pPr>
        <w:spacing w:after="120"/>
        <w:rPr>
          <w:rFonts w:eastAsia="Calibri" w:cs="Times New Roman"/>
          <w:szCs w:val="24"/>
        </w:rPr>
      </w:pPr>
      <w:r>
        <w:rPr>
          <w:rFonts w:eastAsia="Calibri" w:cs="Times New Roman"/>
          <w:szCs w:val="24"/>
        </w:rPr>
        <w:t>Freud, S.</w:t>
      </w:r>
      <w:r w:rsidRPr="00193941">
        <w:rPr>
          <w:rFonts w:eastAsia="Calibri" w:cs="Times New Roman"/>
          <w:szCs w:val="24"/>
        </w:rPr>
        <w:t xml:space="preserve"> (2002</w:t>
      </w:r>
      <w:r>
        <w:rPr>
          <w:rFonts w:eastAsia="Calibri" w:cs="Times New Roman"/>
          <w:szCs w:val="24"/>
        </w:rPr>
        <w:t>).</w:t>
      </w:r>
      <w:r w:rsidRPr="00193941">
        <w:rPr>
          <w:rFonts w:eastAsia="Calibri" w:cs="Times New Roman"/>
          <w:szCs w:val="24"/>
        </w:rPr>
        <w:t xml:space="preserve"> </w:t>
      </w:r>
      <w:r w:rsidRPr="00193941">
        <w:rPr>
          <w:rFonts w:eastAsia="Calibri" w:cs="Times New Roman"/>
          <w:i/>
          <w:szCs w:val="24"/>
        </w:rPr>
        <w:t xml:space="preserve">Le </w:t>
      </w:r>
      <w:r>
        <w:rPr>
          <w:rFonts w:eastAsia="Calibri" w:cs="Times New Roman"/>
          <w:i/>
          <w:szCs w:val="24"/>
        </w:rPr>
        <w:t>M</w:t>
      </w:r>
      <w:r w:rsidRPr="00193941">
        <w:rPr>
          <w:rFonts w:eastAsia="Calibri" w:cs="Times New Roman"/>
          <w:i/>
          <w:szCs w:val="24"/>
        </w:rPr>
        <w:t>alaise dans la culture</w:t>
      </w:r>
      <w:r w:rsidRPr="00CE30A6">
        <w:rPr>
          <w:rFonts w:eastAsia="Calibri" w:cs="Times New Roman"/>
          <w:szCs w:val="24"/>
        </w:rPr>
        <w:t>,</w:t>
      </w:r>
      <w:r w:rsidRPr="00193941">
        <w:rPr>
          <w:rFonts w:eastAsia="Calibri" w:cs="Times New Roman"/>
          <w:i/>
          <w:szCs w:val="24"/>
        </w:rPr>
        <w:t xml:space="preserve"> </w:t>
      </w:r>
      <w:r w:rsidRPr="000526F6">
        <w:rPr>
          <w:rFonts w:eastAsia="Calibri" w:cs="Times New Roman"/>
          <w:szCs w:val="24"/>
        </w:rPr>
        <w:t xml:space="preserve">trad. </w:t>
      </w:r>
      <w:proofErr w:type="spellStart"/>
      <w:proofErr w:type="gramStart"/>
      <w:r w:rsidRPr="000526F6">
        <w:rPr>
          <w:rFonts w:eastAsia="Calibri" w:cs="Times New Roman"/>
          <w:szCs w:val="24"/>
        </w:rPr>
        <w:t>fr</w:t>
      </w:r>
      <w:proofErr w:type="spellEnd"/>
      <w:r w:rsidRPr="000526F6">
        <w:rPr>
          <w:rFonts w:eastAsia="Calibri" w:cs="Times New Roman"/>
          <w:szCs w:val="24"/>
        </w:rPr>
        <w:t>.</w:t>
      </w:r>
      <w:r>
        <w:rPr>
          <w:rFonts w:eastAsia="Calibri" w:cs="Times New Roman"/>
          <w:szCs w:val="24"/>
        </w:rPr>
        <w:t>,</w:t>
      </w:r>
      <w:proofErr w:type="gramEnd"/>
      <w:r>
        <w:rPr>
          <w:rFonts w:eastAsia="Calibri" w:cs="Times New Roman"/>
          <w:szCs w:val="24"/>
        </w:rPr>
        <w:t xml:space="preserve"> Paris,</w:t>
      </w:r>
      <w:r w:rsidRPr="00193941">
        <w:rPr>
          <w:rFonts w:eastAsia="Calibri" w:cs="Times New Roman"/>
          <w:szCs w:val="24"/>
        </w:rPr>
        <w:t xml:space="preserve"> Payot</w:t>
      </w:r>
      <w:r>
        <w:rPr>
          <w:rFonts w:eastAsia="Calibri" w:cs="Times New Roman"/>
          <w:szCs w:val="24"/>
        </w:rPr>
        <w:t xml:space="preserve"> </w:t>
      </w:r>
      <w:r w:rsidRPr="0000096A">
        <w:rPr>
          <w:rFonts w:eastAsia="Calibri" w:cs="Times New Roman"/>
          <w:szCs w:val="24"/>
        </w:rPr>
        <w:t>(1</w:t>
      </w:r>
      <w:r w:rsidRPr="0000096A">
        <w:rPr>
          <w:rFonts w:eastAsia="Calibri" w:cs="Times New Roman"/>
          <w:szCs w:val="24"/>
          <w:vertAlign w:val="superscript"/>
        </w:rPr>
        <w:t>re</w:t>
      </w:r>
      <w:r w:rsidRPr="0000096A">
        <w:rPr>
          <w:rFonts w:eastAsia="Calibri" w:cs="Times New Roman"/>
          <w:szCs w:val="24"/>
        </w:rPr>
        <w:t xml:space="preserve"> éd</w:t>
      </w:r>
      <w:r>
        <w:rPr>
          <w:rFonts w:eastAsia="Calibri" w:cs="Times New Roman"/>
          <w:szCs w:val="24"/>
        </w:rPr>
        <w:t>.</w:t>
      </w:r>
      <w:r w:rsidRPr="0000096A">
        <w:rPr>
          <w:rFonts w:eastAsia="Calibri" w:cs="Times New Roman"/>
          <w:szCs w:val="24"/>
        </w:rPr>
        <w:t xml:space="preserve"> </w:t>
      </w:r>
      <w:r>
        <w:rPr>
          <w:rFonts w:eastAsia="Calibri" w:cs="Times New Roman"/>
          <w:szCs w:val="24"/>
        </w:rPr>
        <w:t>allemande : 1929</w:t>
      </w:r>
      <w:r w:rsidRPr="0000096A">
        <w:rPr>
          <w:rFonts w:eastAsia="Calibri" w:cs="Times New Roman"/>
          <w:szCs w:val="24"/>
        </w:rPr>
        <w:t>).</w:t>
      </w:r>
    </w:p>
    <w:p w:rsidR="00C856FE" w:rsidRDefault="00C856FE" w:rsidP="00C1116B">
      <w:pPr>
        <w:rPr>
          <w:rFonts w:eastAsia="Calibri"/>
        </w:rPr>
      </w:pPr>
    </w:p>
    <w:p w:rsidR="00C1116B" w:rsidRPr="00C1116B" w:rsidRDefault="00C1116B" w:rsidP="00C1116B">
      <w:pPr>
        <w:rPr>
          <w:rFonts w:eastAsia="Calibri"/>
        </w:rPr>
      </w:pPr>
      <w:r w:rsidRPr="00C1116B">
        <w:rPr>
          <w:rFonts w:eastAsia="Calibri"/>
        </w:rPr>
        <w:t>W</w:t>
      </w:r>
      <w:r>
        <w:rPr>
          <w:rFonts w:eastAsia="Calibri"/>
        </w:rPr>
        <w:t>ilde</w:t>
      </w:r>
      <w:r w:rsidRPr="00C1116B">
        <w:rPr>
          <w:rFonts w:eastAsia="Calibri"/>
        </w:rPr>
        <w:t xml:space="preserve">, G. (2012). </w:t>
      </w:r>
      <w:r w:rsidRPr="00C1116B">
        <w:rPr>
          <w:rFonts w:eastAsia="Calibri"/>
          <w:i/>
        </w:rPr>
        <w:t>Le risque cible</w:t>
      </w:r>
      <w:r w:rsidR="00C66E2C">
        <w:rPr>
          <w:rFonts w:eastAsia="Calibri"/>
          <w:i/>
        </w:rPr>
        <w:t>. Une théorie de la santé et de la sécurité</w:t>
      </w:r>
      <w:r w:rsidRPr="00C1116B">
        <w:rPr>
          <w:rFonts w:eastAsia="Calibri"/>
          <w:i/>
        </w:rPr>
        <w:t>,</w:t>
      </w:r>
      <w:r w:rsidRPr="00C1116B">
        <w:rPr>
          <w:rFonts w:eastAsia="Calibri"/>
        </w:rPr>
        <w:t xml:space="preserve"> </w:t>
      </w:r>
      <w:proofErr w:type="spellStart"/>
      <w:r w:rsidRPr="00C1116B">
        <w:rPr>
          <w:rFonts w:eastAsia="Calibri"/>
        </w:rPr>
        <w:t>Fernelmont</w:t>
      </w:r>
      <w:proofErr w:type="spellEnd"/>
      <w:r w:rsidRPr="00C1116B">
        <w:rPr>
          <w:rFonts w:eastAsia="Calibri"/>
        </w:rPr>
        <w:t> : EME éditions (traduit de l’anglais</w:t>
      </w:r>
      <w:r>
        <w:rPr>
          <w:rFonts w:eastAsia="Calibri"/>
        </w:rPr>
        <w:t xml:space="preserve"> par Marc </w:t>
      </w:r>
      <w:proofErr w:type="spellStart"/>
      <w:r>
        <w:rPr>
          <w:rFonts w:eastAsia="Calibri"/>
        </w:rPr>
        <w:t>Camiolo</w:t>
      </w:r>
      <w:proofErr w:type="spellEnd"/>
      <w:r w:rsidRPr="00C1116B">
        <w:rPr>
          <w:rFonts w:eastAsia="Calibri"/>
        </w:rPr>
        <w:t>).</w:t>
      </w:r>
    </w:p>
    <w:p w:rsidR="003F5A44" w:rsidRDefault="003F5A44" w:rsidP="00C1116B"/>
    <w:p w:rsidR="00C856FE" w:rsidRDefault="00C856FE" w:rsidP="00C856FE">
      <w:pPr>
        <w:jc w:val="right"/>
        <w:rPr>
          <w:rFonts w:cs="Times New Roman"/>
          <w:szCs w:val="24"/>
          <w:u w:val="single"/>
        </w:rPr>
      </w:pPr>
    </w:p>
    <w:p w:rsidR="00C856FE" w:rsidRDefault="00C856FE" w:rsidP="00C856FE">
      <w:pPr>
        <w:jc w:val="right"/>
        <w:rPr>
          <w:rFonts w:cs="Times New Roman"/>
          <w:szCs w:val="24"/>
          <w:u w:val="single"/>
        </w:rPr>
      </w:pPr>
    </w:p>
    <w:p w:rsidR="00C856FE" w:rsidRDefault="00C856FE" w:rsidP="00C856FE">
      <w:pPr>
        <w:jc w:val="right"/>
        <w:rPr>
          <w:rFonts w:cs="Times New Roman"/>
          <w:szCs w:val="24"/>
          <w:u w:val="single"/>
        </w:rPr>
      </w:pPr>
    </w:p>
    <w:p w:rsidR="00C856FE" w:rsidRDefault="00C856FE" w:rsidP="00C856FE">
      <w:pPr>
        <w:jc w:val="right"/>
        <w:rPr>
          <w:rFonts w:cs="Times New Roman"/>
          <w:szCs w:val="24"/>
          <w:u w:val="single"/>
        </w:rPr>
      </w:pPr>
    </w:p>
    <w:p w:rsidR="00C856FE" w:rsidRDefault="00C856FE" w:rsidP="00C856FE">
      <w:pPr>
        <w:jc w:val="right"/>
        <w:rPr>
          <w:rFonts w:cs="Times New Roman"/>
          <w:szCs w:val="24"/>
          <w:u w:val="single"/>
        </w:rPr>
      </w:pPr>
    </w:p>
    <w:p w:rsidR="00C856FE" w:rsidRDefault="00C856FE" w:rsidP="00C856FE">
      <w:pPr>
        <w:jc w:val="right"/>
        <w:rPr>
          <w:rFonts w:cs="Times New Roman"/>
          <w:szCs w:val="24"/>
          <w:u w:val="single"/>
        </w:rPr>
      </w:pPr>
    </w:p>
    <w:p w:rsidR="00C856FE" w:rsidRDefault="00C856FE" w:rsidP="00C856FE">
      <w:pPr>
        <w:jc w:val="right"/>
        <w:rPr>
          <w:rFonts w:cs="Times New Roman"/>
          <w:szCs w:val="24"/>
          <w:u w:val="single"/>
        </w:rPr>
      </w:pPr>
      <w:r w:rsidRPr="00690122">
        <w:rPr>
          <w:rFonts w:cs="Times New Roman"/>
          <w:szCs w:val="24"/>
          <w:u w:val="single"/>
        </w:rPr>
        <w:t>C</w:t>
      </w:r>
      <w:r>
        <w:rPr>
          <w:rFonts w:cs="Times New Roman"/>
          <w:szCs w:val="24"/>
          <w:u w:val="single"/>
        </w:rPr>
        <w:t>ontact :</w:t>
      </w:r>
    </w:p>
    <w:p w:rsidR="00C856FE" w:rsidRDefault="00C856FE" w:rsidP="00C856FE">
      <w:pPr>
        <w:jc w:val="right"/>
      </w:pPr>
    </w:p>
    <w:p w:rsidR="00C856FE" w:rsidRDefault="00C856FE" w:rsidP="00C856FE">
      <w:pPr>
        <w:jc w:val="right"/>
      </w:pPr>
      <w:r>
        <w:t xml:space="preserve">Marc </w:t>
      </w:r>
      <w:proofErr w:type="spellStart"/>
      <w:r>
        <w:t>Camiolo</w:t>
      </w:r>
      <w:proofErr w:type="spellEnd"/>
    </w:p>
    <w:p w:rsidR="00C856FE" w:rsidRDefault="00C856FE" w:rsidP="00C856FE">
      <w:pPr>
        <w:jc w:val="right"/>
        <w:rPr>
          <w:szCs w:val="24"/>
        </w:rPr>
      </w:pPr>
      <w:hyperlink r:id="rId4" w:history="1">
        <w:r w:rsidRPr="00D00044">
          <w:rPr>
            <w:rStyle w:val="Lienhypertexte"/>
            <w:szCs w:val="24"/>
          </w:rPr>
          <w:t>camiolomarc@aol.com</w:t>
        </w:r>
      </w:hyperlink>
      <w:r>
        <w:rPr>
          <w:szCs w:val="24"/>
        </w:rPr>
        <w:t xml:space="preserve"> </w:t>
      </w:r>
    </w:p>
    <w:p w:rsidR="00D94155" w:rsidRDefault="00C856FE" w:rsidP="00C856FE">
      <w:pPr>
        <w:jc w:val="right"/>
        <w:rPr>
          <w:szCs w:val="24"/>
        </w:rPr>
      </w:pPr>
      <w:r w:rsidRPr="00D00044">
        <w:rPr>
          <w:szCs w:val="24"/>
        </w:rPr>
        <w:t>06 85 91 75 39</w:t>
      </w:r>
    </w:p>
    <w:p w:rsidR="00C856FE" w:rsidRDefault="00C856FE" w:rsidP="00C1116B">
      <w:pPr>
        <w:rPr>
          <w:szCs w:val="24"/>
        </w:rPr>
      </w:pPr>
    </w:p>
    <w:p w:rsidR="00C856FE" w:rsidRDefault="00C856FE" w:rsidP="00C1116B"/>
    <w:p w:rsidR="00D94155" w:rsidRPr="001973B9" w:rsidRDefault="00D94155" w:rsidP="00D94155">
      <w:pPr>
        <w:jc w:val="center"/>
        <w:rPr>
          <w:rFonts w:cs="Times New Roman"/>
          <w:sz w:val="16"/>
          <w:szCs w:val="16"/>
        </w:rPr>
      </w:pPr>
      <w:hyperlink r:id="rId5" w:history="1">
        <w:r w:rsidRPr="001973B9">
          <w:rPr>
            <w:rStyle w:val="Lienhypertexte"/>
            <w:rFonts w:cs="Times New Roman"/>
            <w:sz w:val="16"/>
            <w:szCs w:val="16"/>
          </w:rPr>
          <w:t>www.edcco.fr</w:t>
        </w:r>
      </w:hyperlink>
    </w:p>
    <w:p w:rsidR="00D94155" w:rsidRPr="00C856FE" w:rsidRDefault="00D94155" w:rsidP="00C856FE">
      <w:pPr>
        <w:jc w:val="center"/>
        <w:rPr>
          <w:rFonts w:cs="Times New Roman"/>
          <w:sz w:val="16"/>
          <w:szCs w:val="16"/>
        </w:rPr>
      </w:pPr>
      <w:hyperlink r:id="rId6" w:history="1">
        <w:r w:rsidRPr="001973B9">
          <w:rPr>
            <w:rStyle w:val="Lienhypertexte"/>
            <w:rFonts w:cs="Times New Roman"/>
            <w:sz w:val="16"/>
            <w:szCs w:val="16"/>
          </w:rPr>
          <w:t>www.lorrainesecuriteroutiere.com</w:t>
        </w:r>
      </w:hyperlink>
    </w:p>
    <w:sectPr w:rsidR="00D94155" w:rsidRPr="00C856FE" w:rsidSect="00CC33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D00A1"/>
    <w:rsid w:val="00013956"/>
    <w:rsid w:val="00097032"/>
    <w:rsid w:val="00167F82"/>
    <w:rsid w:val="001A4A2E"/>
    <w:rsid w:val="002056D6"/>
    <w:rsid w:val="00306DDA"/>
    <w:rsid w:val="003F5A44"/>
    <w:rsid w:val="004840C5"/>
    <w:rsid w:val="005C797D"/>
    <w:rsid w:val="00602333"/>
    <w:rsid w:val="0067142E"/>
    <w:rsid w:val="006F59F1"/>
    <w:rsid w:val="00786C27"/>
    <w:rsid w:val="007A6990"/>
    <w:rsid w:val="007C35D8"/>
    <w:rsid w:val="00846F56"/>
    <w:rsid w:val="009B7D65"/>
    <w:rsid w:val="00A90720"/>
    <w:rsid w:val="00B054B7"/>
    <w:rsid w:val="00B57471"/>
    <w:rsid w:val="00B6751A"/>
    <w:rsid w:val="00BF57E3"/>
    <w:rsid w:val="00C1116B"/>
    <w:rsid w:val="00C41DB3"/>
    <w:rsid w:val="00C55D06"/>
    <w:rsid w:val="00C66E2C"/>
    <w:rsid w:val="00C856FE"/>
    <w:rsid w:val="00CC3372"/>
    <w:rsid w:val="00D00044"/>
    <w:rsid w:val="00D138D2"/>
    <w:rsid w:val="00D94155"/>
    <w:rsid w:val="00DB196D"/>
    <w:rsid w:val="00ED0D21"/>
    <w:rsid w:val="00ED655F"/>
    <w:rsid w:val="00F4128A"/>
    <w:rsid w:val="00F960AE"/>
    <w:rsid w:val="00FB094F"/>
    <w:rsid w:val="00FD00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0044"/>
    <w:rPr>
      <w:color w:val="0000FF" w:themeColor="hyperlink"/>
      <w:u w:val="single"/>
    </w:rPr>
  </w:style>
  <w:style w:type="paragraph" w:styleId="Paragraphedeliste">
    <w:name w:val="List Paragraph"/>
    <w:basedOn w:val="Normal"/>
    <w:uiPriority w:val="34"/>
    <w:qFormat/>
    <w:rsid w:val="00C1116B"/>
    <w:pPr>
      <w:ind w:left="720"/>
      <w:contextualSpacing/>
      <w:jc w:val="left"/>
    </w:pPr>
    <w:rPr>
      <w:rFonts w:eastAsia="Times New Roman" w:cs="Times New Roman"/>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rrainesecuriteroutiere.com" TargetMode="External"/><Relationship Id="rId5" Type="http://schemas.openxmlformats.org/officeDocument/2006/relationships/hyperlink" Target="http://www.edcco.fr" TargetMode="External"/><Relationship Id="rId4" Type="http://schemas.openxmlformats.org/officeDocument/2006/relationships/hyperlink" Target="mailto:camiolomarc@ao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718</Words>
  <Characters>3949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camiolo</dc:creator>
  <cp:lastModifiedBy>marc camiolo</cp:lastModifiedBy>
  <cp:revision>3</cp:revision>
  <dcterms:created xsi:type="dcterms:W3CDTF">2014-11-25T14:01:00Z</dcterms:created>
  <dcterms:modified xsi:type="dcterms:W3CDTF">2014-11-25T14:31:00Z</dcterms:modified>
</cp:coreProperties>
</file>